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CC" w:rsidRPr="00C82ACC" w:rsidRDefault="00C82ACC" w:rsidP="00370072">
      <w:pPr>
        <w:tabs>
          <w:tab w:val="left" w:pos="-180"/>
        </w:tabs>
        <w:ind w:left="-180"/>
        <w:jc w:val="center"/>
        <w:rPr>
          <w:b/>
          <w:bCs/>
        </w:rPr>
      </w:pPr>
      <w:bookmarkStart w:id="0" w:name="_GoBack"/>
      <w:bookmarkEnd w:id="0"/>
      <w:r w:rsidRPr="00C82ACC">
        <w:rPr>
          <w:b/>
          <w:bCs/>
          <w:sz w:val="32"/>
        </w:rPr>
        <w:t>People’s Leasing &amp; Finance PLC</w:t>
      </w:r>
    </w:p>
    <w:p w:rsidR="00C82ACC" w:rsidRDefault="00C82ACC" w:rsidP="00C82ACC">
      <w:pPr>
        <w:jc w:val="center"/>
      </w:pPr>
    </w:p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</w:rPr>
        <w:t>(A Subsidiary of People’s Bank)</w:t>
      </w:r>
    </w:p>
    <w:p w:rsidR="00C82ACC" w:rsidRDefault="00C82ACC" w:rsidP="00C82ACC">
      <w:pPr>
        <w:jc w:val="center"/>
      </w:pPr>
    </w:p>
    <w:p w:rsidR="00C82ACC" w:rsidRDefault="00C82ACC" w:rsidP="00C82ACC">
      <w:pPr>
        <w:jc w:val="center"/>
      </w:pPr>
      <w:r>
        <w:t>Rated AA-(</w:t>
      </w:r>
      <w:proofErr w:type="spellStart"/>
      <w:r>
        <w:t>lka</w:t>
      </w:r>
      <w:proofErr w:type="spellEnd"/>
      <w:r>
        <w:t xml:space="preserve">) by Fitch Ratings Lanka and </w:t>
      </w:r>
      <w:proofErr w:type="gramStart"/>
      <w:r>
        <w:t>Internationally</w:t>
      </w:r>
      <w:proofErr w:type="gramEnd"/>
      <w:r>
        <w:t xml:space="preserve"> rated B+/B by Standard &amp; Poor’s and B by Fitch Ratings International.</w:t>
      </w:r>
    </w:p>
    <w:p w:rsidR="00C82ACC" w:rsidRDefault="00C82ACC" w:rsidP="00C82ACC">
      <w:pPr>
        <w:jc w:val="center"/>
      </w:pPr>
    </w:p>
    <w:p w:rsidR="00C82ACC" w:rsidRPr="001C53EE" w:rsidRDefault="001C53EE" w:rsidP="00C82ACC">
      <w:pPr>
        <w:jc w:val="center"/>
        <w:rPr>
          <w:b/>
          <w:bCs/>
        </w:rPr>
      </w:pPr>
      <w:r w:rsidRPr="001C53EE">
        <w:rPr>
          <w:b/>
          <w:bCs/>
          <w:sz w:val="28"/>
        </w:rPr>
        <w:t xml:space="preserve">Interim Financial Statements </w:t>
      </w:r>
      <w:r>
        <w:rPr>
          <w:b/>
          <w:bCs/>
          <w:sz w:val="28"/>
        </w:rPr>
        <w:t>f</w:t>
      </w:r>
      <w:r w:rsidRPr="001C53EE">
        <w:rPr>
          <w:b/>
          <w:bCs/>
          <w:sz w:val="28"/>
        </w:rPr>
        <w:t xml:space="preserve">or </w:t>
      </w:r>
      <w:r>
        <w:rPr>
          <w:b/>
          <w:bCs/>
          <w:sz w:val="28"/>
        </w:rPr>
        <w:t>t</w:t>
      </w:r>
      <w:r w:rsidRPr="001C53EE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</w:t>
      </w:r>
      <w:r w:rsidRPr="001C53EE">
        <w:rPr>
          <w:b/>
          <w:bCs/>
          <w:sz w:val="28"/>
        </w:rPr>
        <w:t xml:space="preserve">ix </w:t>
      </w:r>
      <w:r>
        <w:rPr>
          <w:b/>
          <w:bCs/>
          <w:sz w:val="28"/>
        </w:rPr>
        <w:t>m</w:t>
      </w:r>
      <w:r w:rsidRPr="001C53EE">
        <w:rPr>
          <w:b/>
          <w:bCs/>
          <w:sz w:val="28"/>
        </w:rPr>
        <w:t xml:space="preserve">onths </w:t>
      </w:r>
      <w:r>
        <w:rPr>
          <w:b/>
          <w:bCs/>
          <w:sz w:val="28"/>
        </w:rPr>
        <w:t>e</w:t>
      </w:r>
      <w:r w:rsidRPr="001C53EE">
        <w:rPr>
          <w:b/>
          <w:bCs/>
          <w:sz w:val="28"/>
        </w:rPr>
        <w:t>nded 30th September 2016</w:t>
      </w:r>
    </w:p>
    <w:p w:rsidR="000769C1" w:rsidRPr="005C76DE" w:rsidRDefault="000769C1" w:rsidP="00C82ACC">
      <w:pPr>
        <w:jc w:val="center"/>
        <w:rPr>
          <w:b/>
          <w:bCs/>
          <w:color w:val="FF0000"/>
        </w:rPr>
      </w:pPr>
    </w:p>
    <w:p w:rsidR="00C82ACC" w:rsidRDefault="000769C1" w:rsidP="000769C1">
      <w:pPr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</w:pPr>
      <w:r w:rsidRPr="000769C1"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  <w:t>STATEMENT OF PROFIT OR LOSS</w:t>
      </w:r>
    </w:p>
    <w:p w:rsidR="000769C1" w:rsidRDefault="000769C1" w:rsidP="000769C1">
      <w:pPr>
        <w:jc w:val="center"/>
      </w:pPr>
      <w:r w:rsidRPr="000769C1"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  <w:t>For the period ended 30th September 2016</w:t>
      </w: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276"/>
        <w:gridCol w:w="5119"/>
        <w:gridCol w:w="275"/>
        <w:gridCol w:w="1531"/>
        <w:gridCol w:w="275"/>
        <w:gridCol w:w="1511"/>
        <w:gridCol w:w="275"/>
        <w:gridCol w:w="1049"/>
        <w:gridCol w:w="275"/>
        <w:gridCol w:w="1531"/>
        <w:gridCol w:w="275"/>
        <w:gridCol w:w="1511"/>
        <w:gridCol w:w="275"/>
        <w:gridCol w:w="1049"/>
        <w:gridCol w:w="275"/>
      </w:tblGrid>
      <w:tr w:rsidR="000769C1" w:rsidRPr="000769C1" w:rsidTr="000769C1">
        <w:trPr>
          <w:trHeight w:val="330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  <w:t> 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3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3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Interest income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10,082,342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8,997,913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12.1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10,444,128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9,184,984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13.7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Less: Interest expense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5,224,058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3,873,987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34.8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5,269,402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3,921,071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34.4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interest income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4,858,284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5,123,926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(5.2)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5,174,726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5,263,913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income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435,702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22.9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223,159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32.2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expenses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Net fee and commission income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435,702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22.9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223,159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32.2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Net earned premiums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1,774,169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1,584,803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trading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27,787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11,623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139.1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82,987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19,518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325.2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financial investments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Other operating income (net)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380,962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258,740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47.2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321,124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246,101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30.5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Total operating income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5,802,295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5,829,991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7,647,928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7,337,494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4.2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Impairment for loans and other losses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Individual impairment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21,157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(51,833)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(140.8)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21,157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(51,833)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(140.8)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Collective impairment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(152,760)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168,862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(190.5)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(125,556)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184,696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(168.0)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Other losses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262,901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(75.0)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65,781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262,901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(75.0)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operating income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5,868,117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5,450,061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7.7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7,686,546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6,941,730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Less: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Personnel expenses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1,227,217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856,084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43.4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1,403,217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984,272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42.6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1C53EE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C53EE">
              <w:rPr>
                <w:rFonts w:ascii="Book Antiqua" w:eastAsia="Times New Roman" w:hAnsi="Book Antiqua" w:cs="Arial"/>
                <w:lang w:bidi="ta-IN"/>
              </w:rPr>
              <w:t>Depreciation of property, plant and equipment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91,011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96,745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(5.9)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138,403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137,030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1.0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1C53EE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1C53EE">
              <w:rPr>
                <w:rFonts w:ascii="Book Antiqua" w:eastAsia="Times New Roman" w:hAnsi="Book Antiqua" w:cs="Arial"/>
                <w:lang w:bidi="ta-IN"/>
              </w:rPr>
              <w:t>Amortisation</w:t>
            </w:r>
            <w:proofErr w:type="spellEnd"/>
            <w:r w:rsidRPr="001C53EE">
              <w:rPr>
                <w:rFonts w:ascii="Book Antiqua" w:eastAsia="Times New Roman" w:hAnsi="Book Antiqua" w:cs="Arial"/>
                <w:lang w:bidi="ta-IN"/>
              </w:rPr>
              <w:t xml:space="preserve"> and impairment of intangible assets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5,590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1,273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339.1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2,771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(36.4)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1C53EE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C53EE">
              <w:rPr>
                <w:rFonts w:ascii="Book Antiqua" w:eastAsia="Times New Roman" w:hAnsi="Book Antiqua" w:cs="Arial"/>
                <w:lang w:bidi="ta-IN"/>
              </w:rPr>
              <w:t>Benefits, claims and underwriting expenditure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1,309,582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1,107,321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18.3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43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Other  operating expenses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1,266,532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1,059,082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19.6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1,325,509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1,068,735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24.0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Total operating expenses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2,590,350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2,013,184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28.7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4,178,472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3,300,129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before value added tax (VAT) 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3,277,767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3,436,877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(4.6)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3,508,074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3,641,601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Value added tax (VAT) on financial services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340,523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246,456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38.2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350,523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251,956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after value added tax (VAT)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3,190,421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(7.9)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3,157,551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3,389,645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Share of profit/(loss) of an associate (net of tax)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(17,970)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(7,142)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(100.0)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after value added tax (VAT)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3,190,421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(7.9)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3,139,581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3,382,503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Income tax expense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780,956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928,370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(15.9)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865,226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1,033,844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(16.3)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for the period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Equity holders of the parent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2,193,314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81,041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2D5BFE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Basic/Diluted earnings per ordinary share (Rs.)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1.36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1.43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(5.0)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1.44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16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1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495"/>
        </w:trPr>
        <w:tc>
          <w:tcPr>
            <w:tcW w:w="27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997F43" w:rsidRDefault="000769C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6477"/>
        <w:gridCol w:w="115"/>
        <w:gridCol w:w="1635"/>
        <w:gridCol w:w="76"/>
        <w:gridCol w:w="1504"/>
        <w:gridCol w:w="65"/>
        <w:gridCol w:w="959"/>
        <w:gridCol w:w="93"/>
        <w:gridCol w:w="1635"/>
        <w:gridCol w:w="76"/>
        <w:gridCol w:w="1504"/>
        <w:gridCol w:w="65"/>
        <w:gridCol w:w="959"/>
        <w:gridCol w:w="76"/>
      </w:tblGrid>
      <w:tr w:rsidR="00997F43" w:rsidTr="00997F43">
        <w:trPr>
          <w:trHeight w:val="420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231F20"/>
                <w:sz w:val="28"/>
                <w:szCs w:val="28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color w:val="231F20"/>
                <w:sz w:val="28"/>
                <w:szCs w:val="28"/>
                <w:u w:val="single"/>
              </w:rPr>
              <w:lastRenderedPageBreak/>
              <w:t>STATEMENT OF COMPREHENSIVE INCOME</w:t>
            </w:r>
          </w:p>
        </w:tc>
      </w:tr>
      <w:tr w:rsidR="00997F43" w:rsidTr="00997F43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F43" w:rsidRDefault="00997F43" w:rsidP="001C53EE">
            <w:pPr>
              <w:jc w:val="center"/>
              <w:rPr>
                <w:rFonts w:ascii="Book Antiqua" w:hAnsi="Book Antiqua" w:cs="Arial"/>
                <w:b/>
                <w:bCs/>
                <w:color w:val="231F20"/>
                <w:sz w:val="28"/>
                <w:szCs w:val="28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color w:val="231F20"/>
                <w:sz w:val="28"/>
                <w:szCs w:val="28"/>
                <w:u w:val="single"/>
              </w:rPr>
              <w:t>For the period ended 30th September</w:t>
            </w:r>
          </w:p>
        </w:tc>
      </w:tr>
      <w:tr w:rsidR="00997F43" w:rsidTr="00997F4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</w:tr>
      <w:tr w:rsidR="00997F43" w:rsidTr="00997F4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Company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For the six months ended 30th 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Rs.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Rs.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Rs.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Rs.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Unaudited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Unaudited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Unaudited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Unaudited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Profit for the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2,156,288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2,262,051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2,274,355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2,348,659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Other comprehensive income/(expenses) (net of tax)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Actuarial gains and losses on defined benefit plans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Gains/ (losses) on derivative financial assets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9,951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14,746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(32.5)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9,951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14,746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2D5BF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Gains/ (losses) on re-measuring available-for-sale financial assets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(60,626)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69,843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(186.8)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(47,170)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70,122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(167.3)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2D5BF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Revaluation of land and buildings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13,811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100.0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2D5BFE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Less: Tax expense/(income) relating to components of other comprehensive income 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Other comprehensive income for the period, net of taxes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(50,675)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 98,400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(151.5)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(37,219)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 84,868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2D5BF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Total comprehensive income for the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2,105,613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2,360,451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(10.8)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2,237,136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2,433,527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2D5BFE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97F43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97F4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9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The above figures are provisional and subject to audit.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7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Figures in brackets indicate deductions.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</w:tbl>
    <w:p w:rsidR="00997F43" w:rsidRDefault="00997F43">
      <w:pPr>
        <w:rPr>
          <w:b/>
          <w:bCs/>
        </w:rPr>
      </w:pPr>
    </w:p>
    <w:p w:rsidR="00997F43" w:rsidRDefault="00997F43">
      <w:pPr>
        <w:rPr>
          <w:b/>
          <w:bCs/>
        </w:rPr>
      </w:pPr>
      <w:r>
        <w:rPr>
          <w:b/>
          <w:bCs/>
        </w:rPr>
        <w:br w:type="page"/>
      </w:r>
    </w:p>
    <w:p w:rsidR="00997F43" w:rsidRDefault="00997F43" w:rsidP="00997F43">
      <w:pPr>
        <w:jc w:val="center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  <w:u w:val="single"/>
        </w:rPr>
        <w:lastRenderedPageBreak/>
        <w:t>DEBENTURE INFORMATION</w:t>
      </w:r>
    </w:p>
    <w:p w:rsidR="00997F43" w:rsidRDefault="00997F43" w:rsidP="00997F43">
      <w:pPr>
        <w:jc w:val="center"/>
      </w:pPr>
    </w:p>
    <w:tbl>
      <w:tblPr>
        <w:tblW w:w="10676" w:type="dxa"/>
        <w:tblInd w:w="2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732"/>
        <w:gridCol w:w="1480"/>
        <w:gridCol w:w="1515"/>
        <w:gridCol w:w="1477"/>
        <w:gridCol w:w="248"/>
      </w:tblGrid>
      <w:tr w:rsidR="00997F43" w:rsidTr="000E5808">
        <w:trPr>
          <w:trHeight w:val="34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Market Prices for the quarter ended 30th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13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Debenture Type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Highest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Lowest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Last Traded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2013 - 4 Years - 16.50% p.a. payable semi-annually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101.89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101.41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2013 - 5 Years - 16.75% p.a. payable semi-annually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Traded only once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105.50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2013 - 5 Years - 17.00% p.a. payable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107.50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2014 - 3 Years - 8.75% p.a. payable annually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Has not been traded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2014 - 4 Years - 9.63% p.a. payable annually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Has not been traded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2015 - 4 Years - 9.60% p.a. payable  semi-annually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Has not been traded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2015 - 5 Years - 9.95% p.a. payable annually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Has not been traded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9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21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4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Interest Rates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22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99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Debenture Type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Coupon Rate</w:t>
            </w:r>
            <w:r>
              <w:rPr>
                <w:rFonts w:ascii="Book Antiqua" w:hAnsi="Book Antiqua" w:cs="Arial"/>
                <w:b/>
                <w:bCs/>
              </w:rPr>
              <w:br/>
              <w:t xml:space="preserve">           (%)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Annual Effective</w:t>
            </w:r>
            <w:r>
              <w:rPr>
                <w:rFonts w:ascii="Book Antiqua" w:hAnsi="Book Antiqua" w:cs="Arial"/>
                <w:b/>
                <w:bCs/>
              </w:rPr>
              <w:br/>
              <w:t xml:space="preserve"> Rate (%)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2013 - 4 Years - 16.50% p.a. payable semi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17.18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2013 - 5 Years - 16.75% p.a. payable semi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16.75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17.45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2013 - 5 Years - 17.00% p.a. payable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2014 - 3 Years - 8.75% p.a. payable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8.75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2014 - 4 Years - 9.63% p.a. payable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9.63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9.63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2015 - 4 Years - 9.60% p.a. payable  semi-annually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9.83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2015 - 5 Years - 9.95% p.a. payable annually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9.95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9.95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19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</w:tbl>
    <w:p w:rsidR="00997F43" w:rsidRDefault="00997F43">
      <w:r>
        <w:br w:type="page"/>
      </w:r>
    </w:p>
    <w:tbl>
      <w:tblPr>
        <w:tblW w:w="10676" w:type="dxa"/>
        <w:tblInd w:w="2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6443"/>
        <w:gridCol w:w="914"/>
        <w:gridCol w:w="1515"/>
        <w:gridCol w:w="1477"/>
        <w:gridCol w:w="248"/>
      </w:tblGrid>
      <w:tr w:rsidR="00997F43" w:rsidTr="000E5808">
        <w:trPr>
          <w:trHeight w:val="34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Interest Rates of Comparable Government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 Months Treasury 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9.39%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 Year Treasury 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10.11%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 Year Treasury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 Year Treasury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 Year Treasury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 Year Treasury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 Above rates are excluding 10% withholding tax)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13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4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Current Yield &amp; Yield to Maturity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21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9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Debenture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Current Yield                  (%)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Yield to Maturity        (%)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2013 - 4 Years - 16.50% p.a. payable semi-annually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2013 - 5 Years - 16.75% p.a. payable semi-annually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2013 - 5 Years - 17.00% p.a. payable 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2014 - 3 Years - 8.75% p.a. payable 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7.97%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2014 - 4 Years - 9.63% p.a. payable 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2015 - 4 Years - 9.60% p.a. payable  semi-annually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2015 - 5 Years - 9.95% p.a. payable annually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1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4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Ratios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16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As 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As 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4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31.03.2016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Debt to Equity Ratio (Times)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Interest Cover (Times)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0E5808">
        <w:trPr>
          <w:trHeight w:val="33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Quick Asset Ratio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82.98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78.41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</w:tbl>
    <w:p w:rsidR="000E5808" w:rsidRPr="000E5808" w:rsidRDefault="000E5808" w:rsidP="000E5808">
      <w:pPr>
        <w:jc w:val="center"/>
        <w:rPr>
          <w:b/>
          <w:bCs/>
          <w:u w:val="single"/>
        </w:rPr>
      </w:pPr>
      <w:r w:rsidRPr="000E5808">
        <w:rPr>
          <w:b/>
          <w:bCs/>
          <w:u w:val="single"/>
        </w:rPr>
        <w:lastRenderedPageBreak/>
        <w:t>INFORMATION ON ORDINARY SHARES OF THE COMPANY</w:t>
      </w:r>
    </w:p>
    <w:tbl>
      <w:tblPr>
        <w:tblpPr w:leftFromText="180" w:rightFromText="180" w:horzAnchor="margin" w:tblpXSpec="center" w:tblpY="335"/>
        <w:tblW w:w="12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817"/>
        <w:gridCol w:w="817"/>
        <w:gridCol w:w="2192"/>
        <w:gridCol w:w="572"/>
        <w:gridCol w:w="1632"/>
        <w:gridCol w:w="1812"/>
        <w:gridCol w:w="1672"/>
        <w:gridCol w:w="1792"/>
      </w:tblGrid>
      <w:tr w:rsidR="000E5808" w:rsidTr="000E5808">
        <w:trPr>
          <w:trHeight w:val="360"/>
        </w:trPr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bCs/>
                <w:sz w:val="26"/>
                <w:szCs w:val="26"/>
              </w:rPr>
              <w:t xml:space="preserve">Market Price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0E5808" w:rsidTr="000E58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2015</w:t>
            </w:r>
          </w:p>
        </w:tc>
      </w:tr>
      <w:tr w:rsidR="000E5808" w:rsidTr="000E58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Rs.</w:t>
            </w:r>
          </w:p>
        </w:tc>
      </w:tr>
      <w:tr w:rsidR="000E5808" w:rsidTr="000E5808">
        <w:trPr>
          <w:trHeight w:val="319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Highest price during the quarter ended 30th September 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26.50 </w:t>
            </w:r>
          </w:p>
        </w:tc>
      </w:tr>
      <w:tr w:rsidR="000E5808" w:rsidTr="000E5808">
        <w:trPr>
          <w:trHeight w:val="319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Lowest price during the quarter ended 30th September 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21.90 </w:t>
            </w:r>
          </w:p>
        </w:tc>
      </w:tr>
      <w:tr w:rsidR="000E5808" w:rsidTr="000E5808">
        <w:trPr>
          <w:trHeight w:val="319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Closing price as at 30th September 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22.10 </w:t>
            </w:r>
          </w:p>
        </w:tc>
      </w:tr>
      <w:tr w:rsidR="000E5808" w:rsidTr="000E5808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bCs/>
                <w:sz w:val="26"/>
                <w:szCs w:val="26"/>
              </w:rPr>
              <w:t>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0E5808" w:rsidTr="000E5808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Capital as at 30th September 2016 was represented by the number of shares in issue as given below;</w:t>
            </w:r>
          </w:p>
        </w:tc>
      </w:tr>
      <w:tr w:rsidR="000E5808" w:rsidTr="000E58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As at 30th September 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As at 30th September 2015</w:t>
            </w:r>
          </w:p>
        </w:tc>
      </w:tr>
      <w:tr w:rsidR="000E5808" w:rsidTr="000E58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Rs.</w:t>
            </w:r>
          </w:p>
        </w:tc>
      </w:tr>
      <w:tr w:rsidR="000E5808" w:rsidTr="000E580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Ordinary shares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1,579,862,482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11,886,073,308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1,579,862,482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11,886,073,308 </w:t>
            </w:r>
          </w:p>
        </w:tc>
      </w:tr>
      <w:tr w:rsidR="000E5808" w:rsidTr="000E580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Transfer from preference shares on redemption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1,350,000,000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1,150,000,000 </w:t>
            </w:r>
          </w:p>
        </w:tc>
      </w:tr>
      <w:tr w:rsidR="000E5808" w:rsidTr="000E58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</w:p>
        </w:tc>
      </w:tr>
      <w:tr w:rsidR="000E5808" w:rsidTr="000E5808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08" w:rsidRDefault="000E5808" w:rsidP="000E580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1,579,862,482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13,236,073,308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1,579,862,482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808" w:rsidRDefault="000E5808" w:rsidP="000E5808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13,036,073,308</w:t>
            </w:r>
          </w:p>
        </w:tc>
      </w:tr>
    </w:tbl>
    <w:p w:rsidR="000769C1" w:rsidRDefault="000769C1">
      <w:pPr>
        <w:rPr>
          <w:b/>
          <w:bCs/>
        </w:rPr>
      </w:pPr>
      <w:r>
        <w:rPr>
          <w:b/>
          <w:bCs/>
        </w:rPr>
        <w:br w:type="page"/>
      </w:r>
    </w:p>
    <w:p w:rsidR="000769C1" w:rsidRPr="00EC0401" w:rsidRDefault="00EC0401" w:rsidP="00EC0401">
      <w:pPr>
        <w:jc w:val="center"/>
        <w:rPr>
          <w:b/>
          <w:bCs/>
          <w:u w:val="single"/>
        </w:rPr>
      </w:pPr>
      <w:r w:rsidRPr="00EC0401">
        <w:rPr>
          <w:b/>
          <w:bCs/>
          <w:u w:val="single"/>
        </w:rPr>
        <w:lastRenderedPageBreak/>
        <w:t>STATEMENT OF FINANCIAL POSITION</w:t>
      </w:r>
    </w:p>
    <w:p w:rsidR="00EC0401" w:rsidRDefault="00EC0401" w:rsidP="00EC0401">
      <w:pPr>
        <w:jc w:val="center"/>
        <w:rPr>
          <w:b/>
          <w:bCs/>
        </w:rPr>
      </w:pPr>
      <w:r w:rsidRPr="00EC0401">
        <w:rPr>
          <w:b/>
          <w:bCs/>
        </w:rPr>
        <w:t>As at 30th September 2016</w:t>
      </w:r>
    </w:p>
    <w:tbl>
      <w:tblPr>
        <w:tblW w:w="16200" w:type="dxa"/>
        <w:tblLook w:val="04A0" w:firstRow="1" w:lastRow="0" w:firstColumn="1" w:lastColumn="0" w:noHBand="0" w:noVBand="1"/>
      </w:tblPr>
      <w:tblGrid>
        <w:gridCol w:w="2088"/>
        <w:gridCol w:w="1782"/>
        <w:gridCol w:w="1440"/>
        <w:gridCol w:w="270"/>
        <w:gridCol w:w="1350"/>
        <w:gridCol w:w="360"/>
        <w:gridCol w:w="1080"/>
        <w:gridCol w:w="379"/>
        <w:gridCol w:w="1331"/>
        <w:gridCol w:w="270"/>
        <w:gridCol w:w="1350"/>
        <w:gridCol w:w="270"/>
        <w:gridCol w:w="1350"/>
        <w:gridCol w:w="270"/>
        <w:gridCol w:w="990"/>
        <w:gridCol w:w="270"/>
        <w:gridCol w:w="1350"/>
      </w:tblGrid>
      <w:tr w:rsidR="00EC0401" w:rsidRPr="00EC0401" w:rsidTr="00EC040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Company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Group </w:t>
            </w:r>
          </w:p>
        </w:tc>
      </w:tr>
      <w:tr w:rsidR="00EC0401" w:rsidRPr="00EC0401" w:rsidTr="00EC040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As at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Change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Change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31.03.2016 </w:t>
            </w:r>
          </w:p>
        </w:tc>
      </w:tr>
      <w:tr w:rsidR="00EC0401" w:rsidRPr="00EC0401" w:rsidTr="00EC040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</w:tr>
      <w:tr w:rsidR="00EC0401" w:rsidRPr="00EC0401" w:rsidTr="00EC040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Audited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Audited </w:t>
            </w:r>
          </w:p>
        </w:tc>
      </w:tr>
      <w:tr w:rsidR="00EC0401" w:rsidRPr="00EC0401" w:rsidTr="00EC040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Assets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Cash  and cash equivalents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5,051,163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1,711,889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195.1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3,206,733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5,522,694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2,020,894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173.3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3,555,643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Balances with  banks &amp; financial institutions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81,415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335,498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(75.7)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847,448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1,691,833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1,749,782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(3.3)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2,543,016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Derivative financial instrument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23,925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23,925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Financial assets held-for-trading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221,042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261,141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(15.4)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211,651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557,703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589,021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527,438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Loans and receivables - Leases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60,162,979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63,349,941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60,162,980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63,349,941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Loans and receivables - Hire purchase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7,598,443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15,870,632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(52.1)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11,017,047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8,893,425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16,338,399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(45.6)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11,896,883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Loans and receivables - Others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48,902,322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27,268,009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79.3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35,505,427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49,001,264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26,985,144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81.6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35,909,613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Insurance and reinsurance receivables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310,168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260,571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19.0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206,303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Financial investments – Available-for-sale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308,849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821,590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(62.4)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500,357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1,641,480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1,930,409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1,739,956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Financial investments – Held-to-maturity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5,469,200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(8.7)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4,930,236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5,469,200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4,930,236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Investments in subsidiaries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1,975,000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1,875,000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5.3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Investments in associates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532,287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579,285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550,257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Investment property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82,503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10.0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Property, plant and equipment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1,174,859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1,139,336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3.1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1,120,600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4,614,211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3,965,442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4,209,533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Goodwill and intangible assets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324,373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338,189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(4.1)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329,963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326,089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344,685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333,175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Other assets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2,869,708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693,040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314.1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764,066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2,911,295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1,240,415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134.7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1,334,274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Total assets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116,639,358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23.6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124,335,648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121,660,152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24.1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131,086,268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Liabilities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Due to banks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37,447,898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25,036,269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49.6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26,431,628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39,182,775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26,159,606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28,059,677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Due to customers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39,257,406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34,286,855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14.5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33,836,428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39,037,020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34,180,073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33,677,260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Debt securities issued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35,618,645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27,245,441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30.7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34,387,677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35,510,283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27,137,109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30.9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34,283,621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Other financial liabilities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3,765,810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4,604,555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(18.2)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2,730,484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3,684,494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4,494,215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2,888,399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Derivative financial instrument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lastRenderedPageBreak/>
              <w:t xml:space="preserve">Insurance and reinsurance payable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3,433,059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3,101,546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3,181,588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Current tax liabilities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531,969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580,861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(8.4)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937,999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576,382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658,879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(12.5)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1,017,694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Deferred tax liabilities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1,949,490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(6.5)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1,836,263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1,976,105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(7.1)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1,840,724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Other liabilities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1,652,751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229,576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619.9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1,417,667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1,691,769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256,261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560.2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1,467,033 </w:t>
            </w:r>
          </w:p>
        </w:tc>
      </w:tr>
      <w:tr w:rsidR="00EC0401" w:rsidRPr="00EC0401" w:rsidTr="002D5BFE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Total liabilities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120,106,926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93,933,047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27.9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101,563,780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124,962,595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97,963,794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27.6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106,415,996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Equity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Capital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13,036,073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1.5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13,136,073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13,036,073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13,136,073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Statutory reserve fund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1,317,218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16.1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1,421,483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1,317,218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1,421,483 </w:t>
            </w: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Retained earnings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8,840,771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7,748,620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14.1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7,682,230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9,792,301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8,749,310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8,600,098 </w:t>
            </w:r>
          </w:p>
        </w:tc>
      </w:tr>
      <w:tr w:rsidR="00EC0401" w:rsidRPr="00EC0401" w:rsidTr="002D5BFE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Other reserves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481,408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604,400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(20.3)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532,082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472,356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593,757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509,575 </w:t>
            </w:r>
          </w:p>
        </w:tc>
      </w:tr>
      <w:tr w:rsidR="00EC0401" w:rsidRPr="00EC0401" w:rsidTr="002D5BFE">
        <w:trPr>
          <w:trHeight w:val="330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Total Equity attributable to equity holders of the Company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22,706,311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22,771,868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25,030,028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23,696,358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5.6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23,667,229 </w:t>
            </w:r>
          </w:p>
        </w:tc>
      </w:tr>
      <w:tr w:rsidR="00EC0401" w:rsidRPr="00EC0401" w:rsidTr="002D5BFE">
        <w:trPr>
          <w:trHeight w:val="3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Non-controlling interest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1,019,949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1,003,043 </w:t>
            </w:r>
          </w:p>
        </w:tc>
      </w:tr>
      <w:tr w:rsidR="00EC0401" w:rsidRPr="00EC0401" w:rsidTr="002D5BFE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Total Equity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22,706,311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22,771,868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26,049,977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23,696,358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9.9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24,670,272 </w:t>
            </w:r>
          </w:p>
        </w:tc>
      </w:tr>
      <w:tr w:rsidR="00EC0401" w:rsidRPr="00EC0401" w:rsidTr="002D5BFE">
        <w:trPr>
          <w:trHeight w:val="34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Total liabilities and equity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116,639,358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23.6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124,335,648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121,660,152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24.1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131,086,268 </w:t>
            </w:r>
          </w:p>
        </w:tc>
      </w:tr>
      <w:tr w:rsidR="00EC0401" w:rsidRPr="00EC0401" w:rsidTr="002D5BFE">
        <w:trPr>
          <w:trHeight w:val="21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EC0401" w:rsidRPr="00EC0401" w:rsidTr="002D5BFE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Contingencies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457,316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79.5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783,168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457,316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783,168 </w:t>
            </w:r>
          </w:p>
        </w:tc>
      </w:tr>
      <w:tr w:rsidR="00EC0401" w:rsidRPr="00EC0401" w:rsidTr="002D5BFE">
        <w:trPr>
          <w:trHeight w:val="33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Commitments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5,013,894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3,060,520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63.8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1,568,642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5,612,186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3,914,208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43.4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2,167,322 </w:t>
            </w:r>
          </w:p>
        </w:tc>
      </w:tr>
      <w:tr w:rsidR="00EC0401" w:rsidRPr="00EC0401" w:rsidTr="002D5BFE">
        <w:trPr>
          <w:trHeight w:val="1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EC0401" w:rsidRPr="00EC0401" w:rsidTr="002D5BFE">
        <w:trPr>
          <w:trHeight w:val="31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Net assets value per ordinary share (Rs.)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15.25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14.37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14.41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15.84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15.00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2D5BF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14.98 </w:t>
            </w:r>
          </w:p>
        </w:tc>
      </w:tr>
      <w:tr w:rsidR="00EC0401" w:rsidRPr="00EC0401" w:rsidTr="00EC0401">
        <w:trPr>
          <w:trHeight w:val="2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</w:tbl>
    <w:p w:rsidR="00F11B91" w:rsidRDefault="00F11B91">
      <w:pPr>
        <w:rPr>
          <w:b/>
          <w:bCs/>
        </w:rPr>
      </w:pPr>
    </w:p>
    <w:p w:rsidR="00F11B91" w:rsidRDefault="00F11B91">
      <w:pPr>
        <w:rPr>
          <w:b/>
          <w:bCs/>
        </w:rPr>
      </w:pPr>
      <w:r>
        <w:rPr>
          <w:b/>
          <w:bCs/>
        </w:rPr>
        <w:br w:type="page"/>
      </w:r>
    </w:p>
    <w:p w:rsidR="00EC0401" w:rsidRDefault="00EC0401">
      <w:pPr>
        <w:rPr>
          <w:b/>
          <w:bCs/>
        </w:rPr>
      </w:pPr>
    </w:p>
    <w:tbl>
      <w:tblPr>
        <w:tblW w:w="15611" w:type="dxa"/>
        <w:tblInd w:w="-720" w:type="dxa"/>
        <w:tblLook w:val="04A0" w:firstRow="1" w:lastRow="0" w:firstColumn="1" w:lastColumn="0" w:noHBand="0" w:noVBand="1"/>
      </w:tblPr>
      <w:tblGrid>
        <w:gridCol w:w="2203"/>
        <w:gridCol w:w="2725"/>
        <w:gridCol w:w="1259"/>
        <w:gridCol w:w="222"/>
        <w:gridCol w:w="1259"/>
        <w:gridCol w:w="222"/>
        <w:gridCol w:w="906"/>
        <w:gridCol w:w="222"/>
        <w:gridCol w:w="1362"/>
        <w:gridCol w:w="238"/>
        <w:gridCol w:w="1363"/>
        <w:gridCol w:w="222"/>
        <w:gridCol w:w="1259"/>
        <w:gridCol w:w="222"/>
        <w:gridCol w:w="906"/>
        <w:gridCol w:w="222"/>
        <w:gridCol w:w="1259"/>
      </w:tblGrid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  <w:t>CERTIFICATION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F11B91" w:rsidRPr="00F11B91" w:rsidTr="00370072">
        <w:trPr>
          <w:trHeight w:val="393"/>
        </w:trPr>
        <w:tc>
          <w:tcPr>
            <w:tcW w:w="15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91" w:rsidRPr="00F11B91" w:rsidRDefault="00F11B91" w:rsidP="00F11B91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lang w:bidi="ta-IN"/>
              </w:rPr>
              <w:t>We, the undersigned, being the Chief Executive Officer and the Chief Financial Officerof People's Leasing &amp; Finance PLC certify jointly that:</w:t>
            </w:r>
          </w:p>
        </w:tc>
      </w:tr>
      <w:tr w:rsidR="00F11B91" w:rsidRPr="00F11B91" w:rsidTr="00370072">
        <w:trPr>
          <w:trHeight w:val="287"/>
        </w:trPr>
        <w:tc>
          <w:tcPr>
            <w:tcW w:w="15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lang w:bidi="ta-IN"/>
              </w:rPr>
              <w:t>a) the above statements have been prepared in compliance with the format and the definitions prescribed by the Central Bank of Sri Lanka;</w:t>
            </w:r>
          </w:p>
        </w:tc>
      </w:tr>
      <w:tr w:rsidR="00F11B91" w:rsidRPr="00F11B91" w:rsidTr="00370072">
        <w:trPr>
          <w:trHeight w:val="575"/>
        </w:trPr>
        <w:tc>
          <w:tcPr>
            <w:tcW w:w="15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proofErr w:type="gramStart"/>
            <w:r w:rsidRPr="00F11B91">
              <w:rPr>
                <w:rFonts w:ascii="Book Antiqua" w:eastAsia="Times New Roman" w:hAnsi="Book Antiqua" w:cs="Arial"/>
                <w:lang w:bidi="ta-IN"/>
              </w:rPr>
              <w:t>the</w:t>
            </w:r>
            <w:proofErr w:type="gramEnd"/>
            <w:r w:rsidRPr="00F11B91">
              <w:rPr>
                <w:rFonts w:ascii="Book Antiqua" w:eastAsia="Times New Roman" w:hAnsi="Book Antiqua" w:cs="Arial"/>
                <w:lang w:bidi="ta-IN"/>
              </w:rPr>
              <w:t xml:space="preserve"> information contained in these statements have been extracted from the unaudited financial statements of People's Leasing &amp; Finance PLC unless indicated as audited.</w:t>
            </w:r>
          </w:p>
        </w:tc>
      </w:tr>
      <w:tr w:rsidR="00370072" w:rsidRPr="00F11B91" w:rsidTr="00370072">
        <w:trPr>
          <w:trHeight w:val="37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8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31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D.P. </w:t>
            </w:r>
            <w:proofErr w:type="spellStart"/>
            <w:r w:rsidRPr="00F11B91">
              <w:rPr>
                <w:rFonts w:ascii="Book Antiqua" w:eastAsia="Times New Roman" w:hAnsi="Book Antiqua" w:cs="Arial"/>
                <w:b/>
                <w:bCs/>
                <w:lang w:bidi="ta-IN"/>
              </w:rPr>
              <w:t>Kumarage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D731CD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D731CD">
              <w:rPr>
                <w:rFonts w:ascii="Book Antiqua" w:eastAsia="Times New Roman" w:hAnsi="Book Antiqua" w:cs="Arial"/>
                <w:b/>
                <w:bCs/>
                <w:lang w:bidi="ta-IN"/>
              </w:rPr>
              <w:t>Sanjeewa</w:t>
            </w:r>
            <w:r w:rsidR="00F11B91" w:rsidRPr="00F11B91">
              <w:rPr>
                <w:rFonts w:ascii="Book Antiqua" w:eastAsia="Times New Roman" w:hAnsi="Book Antiqua" w:cs="Arial"/>
                <w:b/>
                <w:bCs/>
                <w:lang w:bidi="ta-IN"/>
              </w:rPr>
              <w:t>Bandaranayake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i/>
                <w:iCs/>
                <w:lang w:bidi="ta-IN"/>
              </w:rPr>
              <w:t>Chief Executive Officer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D731CD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i/>
                <w:iCs/>
                <w:lang w:bidi="ta-IN"/>
              </w:rPr>
              <w:t>Chief Financial</w:t>
            </w:r>
            <w:r w:rsidR="00D731CD">
              <w:rPr>
                <w:rFonts w:ascii="Book Antiqua" w:eastAsia="Times New Roman" w:hAnsi="Book Antiqua" w:cs="Arial"/>
                <w:i/>
                <w:iCs/>
                <w:lang w:bidi="ta-IN"/>
              </w:rPr>
              <w:t xml:space="preserve"> </w:t>
            </w:r>
            <w:r w:rsidRPr="00F11B91">
              <w:rPr>
                <w:rFonts w:ascii="Book Antiqua" w:eastAsia="Times New Roman" w:hAnsi="Book Antiqua" w:cs="Arial"/>
                <w:i/>
                <w:iCs/>
                <w:lang w:bidi="ta-IN"/>
              </w:rPr>
              <w:t>Officer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F11B91" w:rsidRPr="00F11B91" w:rsidTr="00370072">
        <w:trPr>
          <w:trHeight w:val="275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The Board of Directors is responsible for the preparation and presentation of these Financial Statements.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13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Approved and signed for and on behalf of the Board by;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proofErr w:type="spellStart"/>
            <w:r w:rsidRPr="00F11B91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Hemasiri</w:t>
            </w:r>
            <w:proofErr w:type="spellEnd"/>
            <w:r w:rsidRPr="00F11B91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Fernando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M.P. </w:t>
            </w:r>
            <w:proofErr w:type="spellStart"/>
            <w:r w:rsidRPr="00F11B91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Amirthanayagam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Chairman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Deputy Chairman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lang w:bidi="ta-IN"/>
              </w:rPr>
              <w:t>10/25/2016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F11B91">
              <w:rPr>
                <w:rFonts w:eastAsia="Times New Roman"/>
                <w:sz w:val="22"/>
                <w:szCs w:val="22"/>
                <w:lang w:bidi="ta-IN"/>
              </w:rPr>
              <w:t>Colombo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2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370072" w:rsidRPr="00F11B91" w:rsidTr="00370072">
        <w:trPr>
          <w:trHeight w:val="313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F11B91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91" w:rsidRPr="00F11B91" w:rsidRDefault="00F11B91" w:rsidP="00F11B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EC0401" w:rsidRDefault="00EC0401">
      <w:pPr>
        <w:rPr>
          <w:b/>
          <w:bCs/>
        </w:rPr>
      </w:pPr>
    </w:p>
    <w:p w:rsidR="00EC0401" w:rsidRDefault="00EC0401">
      <w:pPr>
        <w:rPr>
          <w:b/>
          <w:bCs/>
        </w:rPr>
      </w:pPr>
      <w:r>
        <w:rPr>
          <w:b/>
          <w:bCs/>
        </w:rPr>
        <w:br w:type="page"/>
      </w:r>
    </w:p>
    <w:p w:rsidR="00F11B91" w:rsidRPr="00F11B91" w:rsidRDefault="00F11B91" w:rsidP="00F11B91">
      <w:pPr>
        <w:jc w:val="center"/>
        <w:rPr>
          <w:b/>
          <w:bCs/>
          <w:u w:val="single"/>
        </w:rPr>
      </w:pPr>
      <w:r w:rsidRPr="00F11B91">
        <w:rPr>
          <w:b/>
          <w:bCs/>
          <w:u w:val="single"/>
        </w:rPr>
        <w:lastRenderedPageBreak/>
        <w:t>SELECTED PERFORMANCE INDICATORS</w:t>
      </w:r>
    </w:p>
    <w:p w:rsidR="00F11B91" w:rsidRPr="00F11B91" w:rsidRDefault="00F11B91" w:rsidP="00F11B91">
      <w:pPr>
        <w:jc w:val="center"/>
        <w:rPr>
          <w:b/>
          <w:bCs/>
          <w:u w:val="single"/>
        </w:rPr>
      </w:pPr>
      <w:r w:rsidRPr="00F11B91">
        <w:rPr>
          <w:b/>
          <w:bCs/>
          <w:u w:val="single"/>
        </w:rPr>
        <w:t>As at 30th September 2016</w:t>
      </w:r>
    </w:p>
    <w:tbl>
      <w:tblPr>
        <w:tblW w:w="10952" w:type="dxa"/>
        <w:tblInd w:w="2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555"/>
        <w:gridCol w:w="1477"/>
      </w:tblGrid>
      <w:tr w:rsidR="00F11B91" w:rsidTr="00F11B91">
        <w:trPr>
          <w:trHeight w:val="345"/>
          <w:tblHeader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Company</w:t>
            </w:r>
          </w:p>
        </w:tc>
      </w:tr>
      <w:tr w:rsidR="00F11B91" w:rsidTr="00F11B91">
        <w:trPr>
          <w:trHeight w:val="3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As 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As at </w:t>
            </w:r>
          </w:p>
        </w:tc>
      </w:tr>
      <w:tr w:rsidR="00F11B91" w:rsidTr="00F11B91">
        <w:trPr>
          <w:trHeight w:val="3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30.09.2015</w:t>
            </w:r>
          </w:p>
        </w:tc>
      </w:tr>
      <w:tr w:rsidR="00F11B91" w:rsidTr="00F11B9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Regulatory Capital Adequacy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Core Capital (Tier1 Capital) - Rs. '000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21,432,961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19,819,964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Total Capital Base - Rs. '000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19,845,619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18,139,377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Core Capital to Risk Weighted Assets Ratio (Minimum 5%)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16.28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18.64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Total Capital to Risk Weighted Assets Ratio (Minimum 10%)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15.08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17.06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Capital Funds to Total Deposit Liabilities Ratio (Minimum 10%)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167.60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151.00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Asset Quality (Quality of Loan Portfolio)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Gross Non-Performing Advances - Rs. '000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2,004,942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3,316,414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Gross Non-Performing Advances Ratio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1.57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2.69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Net- Non-Performing Advances Ratio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0.61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11B91" w:rsidTr="00F11B9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Profitability</w:t>
            </w:r>
            <w:r>
              <w:rPr>
                <w:rFonts w:ascii="Book Antiqua" w:hAnsi="Book Antiqua" w:cs="Arial"/>
                <w:i/>
                <w:iCs/>
              </w:rPr>
              <w:t>(Annualized)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Interest Margin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7.70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9.53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Return on Average Assets (before Tax)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5.57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Return on Average Equity (after tax)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22.73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20.64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11B91" w:rsidTr="00F11B9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Regulatory Liquidity - Rs. '000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Required Minimum Amount of Liquid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6,524,214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5,349,465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Available Amount of Liquid Assets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9,558,372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6,930,432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lastRenderedPageBreak/>
              <w:t>Required Minimum Amount of Government Securities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3,856,800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4,005,926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Available Amount of Government Securities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8,283,494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5,648,864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11B91" w:rsidTr="00F11B9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Memorandum information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Number of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2,014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1,709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Number of branches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89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Number of service centers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111 </w:t>
            </w:r>
          </w:p>
        </w:tc>
      </w:tr>
      <w:tr w:rsidR="00F11B91" w:rsidTr="00F11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Number of pawning centers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-   </w:t>
            </w:r>
          </w:p>
        </w:tc>
      </w:tr>
      <w:tr w:rsidR="00F11B91" w:rsidTr="00F11B9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</w:p>
        </w:tc>
      </w:tr>
    </w:tbl>
    <w:p w:rsidR="00F11B91" w:rsidRDefault="00F11B91">
      <w:pPr>
        <w:rPr>
          <w:b/>
          <w:bCs/>
        </w:rPr>
      </w:pPr>
    </w:p>
    <w:p w:rsidR="00F11B91" w:rsidRDefault="00F11B91">
      <w:pPr>
        <w:rPr>
          <w:b/>
          <w:bCs/>
        </w:rPr>
      </w:pPr>
      <w:r>
        <w:rPr>
          <w:b/>
          <w:bCs/>
        </w:rPr>
        <w:br w:type="page"/>
      </w:r>
    </w:p>
    <w:p w:rsidR="0084723D" w:rsidRDefault="0084723D" w:rsidP="0084723D">
      <w:pPr>
        <w:jc w:val="center"/>
        <w:rPr>
          <w:b/>
          <w:bCs/>
          <w:u w:val="single"/>
        </w:rPr>
      </w:pPr>
      <w:r w:rsidRPr="0084723D">
        <w:rPr>
          <w:b/>
          <w:bCs/>
          <w:u w:val="single"/>
        </w:rPr>
        <w:lastRenderedPageBreak/>
        <w:t xml:space="preserve">SHAREHOLDERS' INFORMATION </w:t>
      </w:r>
    </w:p>
    <w:p w:rsidR="0084723D" w:rsidRDefault="0084723D" w:rsidP="0084723D">
      <w:pPr>
        <w:rPr>
          <w:b/>
          <w:bCs/>
          <w:u w:val="single"/>
        </w:rPr>
      </w:pPr>
    </w:p>
    <w:p w:rsidR="0084723D" w:rsidRPr="0084723D" w:rsidRDefault="0084723D" w:rsidP="0084723D">
      <w:pPr>
        <w:rPr>
          <w:b/>
          <w:bCs/>
        </w:rPr>
      </w:pPr>
      <w:r w:rsidRPr="0084723D">
        <w:rPr>
          <w:b/>
          <w:bCs/>
        </w:rPr>
        <w:t xml:space="preserve">Twenty Largest Ordinary Shareholders as at 30th September 2016 </w:t>
      </w:r>
    </w:p>
    <w:p w:rsidR="0084723D" w:rsidRDefault="0084723D" w:rsidP="0084723D">
      <w:r w:rsidRPr="0084723D">
        <w:t xml:space="preserve">Twenty largest ordinary shareholders of the Company as at 30th September 2016 were as follows; </w:t>
      </w:r>
    </w:p>
    <w:p w:rsidR="0084723D" w:rsidRDefault="0084723D" w:rsidP="0084723D"/>
    <w:tbl>
      <w:tblPr>
        <w:tblW w:w="14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332"/>
        <w:gridCol w:w="2092"/>
        <w:gridCol w:w="1512"/>
      </w:tblGrid>
      <w:tr w:rsidR="0084723D" w:rsidTr="0084723D">
        <w:trPr>
          <w:trHeight w:val="345"/>
        </w:trPr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No.</w:t>
            </w:r>
          </w:p>
        </w:tc>
        <w:tc>
          <w:tcPr>
            <w:tcW w:w="10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Name of the Shareholder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No. of Shares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%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People's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1,184,896,862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75.00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Employees Provident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85,748,846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5.43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BNYM SA/NV-Neon Liberty Lorikeet Master Fund 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63,069,853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3.99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National Savings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43,668,157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2.76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Citi Bank </w:t>
            </w:r>
            <w:proofErr w:type="spellStart"/>
            <w:r>
              <w:rPr>
                <w:rFonts w:ascii="Book Antiqua" w:hAnsi="Book Antiqua" w:cs="Arial"/>
              </w:rPr>
              <w:t>Newyork</w:t>
            </w:r>
            <w:proofErr w:type="spellEnd"/>
            <w:r>
              <w:rPr>
                <w:rFonts w:ascii="Book Antiqua" w:hAnsi="Book Antiqua" w:cs="Arial"/>
              </w:rPr>
              <w:t xml:space="preserve"> S/A </w:t>
            </w:r>
            <w:proofErr w:type="spellStart"/>
            <w:r>
              <w:rPr>
                <w:rFonts w:ascii="Book Antiqua" w:hAnsi="Book Antiqua" w:cs="Arial"/>
              </w:rPr>
              <w:t>Norges</w:t>
            </w:r>
            <w:proofErr w:type="spellEnd"/>
            <w:r>
              <w:rPr>
                <w:rFonts w:ascii="Book Antiqua" w:hAnsi="Book Antiqua" w:cs="Arial"/>
              </w:rPr>
              <w:t xml:space="preserve"> Bank Account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23,775,303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1.50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Bank of Ceylon No. 1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11,453,600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0.72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AIA Insurance Lanka PLC A/C No.07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5,476,721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0.35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Ceylon Investment PLC A/C #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4,954,891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0.31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BNYM SA/NV-NLCF Fund 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4,916,003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0.31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Sri Lanka Insurance Corporation Ltd-General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4,033,000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0.26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Union Assurance PLC/No-01A/C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3,821,672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0.24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Caceis</w:t>
            </w:r>
            <w:proofErr w:type="spellEnd"/>
            <w:r>
              <w:rPr>
                <w:rFonts w:ascii="Book Antiqua" w:hAnsi="Book Antiqua" w:cs="Arial"/>
              </w:rPr>
              <w:t xml:space="preserve"> Bank Luxembourg-</w:t>
            </w:r>
            <w:proofErr w:type="spellStart"/>
            <w:r>
              <w:rPr>
                <w:rFonts w:ascii="Book Antiqua" w:hAnsi="Book Antiqua" w:cs="Arial"/>
              </w:rPr>
              <w:t>Intereffekt</w:t>
            </w:r>
            <w:proofErr w:type="spellEnd"/>
            <w:r>
              <w:rPr>
                <w:rFonts w:ascii="Book Antiqua" w:hAnsi="Book Antiqua" w:cs="Arial"/>
              </w:rPr>
              <w:t xml:space="preserve"> Investments Funds N.V.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2,887,743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0.18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Ceylon Guardian Investment Trust PLC A/C #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2,733,505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0.17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Deutsche Bank AG as Trustee to Candor Growth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2,388,804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0.15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Employees Trust Fund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2,356,087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0.15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Deutsche Bank AG as Trustee to Candor Opportunities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2,000,000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0.13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Dr. </w:t>
            </w:r>
            <w:proofErr w:type="spellStart"/>
            <w:r>
              <w:rPr>
                <w:rFonts w:ascii="Book Antiqua" w:hAnsi="Book Antiqua" w:cs="Arial"/>
              </w:rPr>
              <w:t>ThirugnanasambandarSenthilverl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1,957,684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0.12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Akbar Brothers </w:t>
            </w:r>
            <w:proofErr w:type="spellStart"/>
            <w:r>
              <w:rPr>
                <w:rFonts w:ascii="Book Antiqua" w:hAnsi="Book Antiqua" w:cs="Arial"/>
              </w:rPr>
              <w:t>Pvt</w:t>
            </w:r>
            <w:proofErr w:type="spellEnd"/>
            <w:r>
              <w:rPr>
                <w:rFonts w:ascii="Book Antiqua" w:hAnsi="Book Antiqua" w:cs="Arial"/>
              </w:rPr>
              <w:t xml:space="preserve"> Ltd A/C No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1,847,829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0.12 </w:t>
            </w:r>
          </w:p>
        </w:tc>
      </w:tr>
      <w:tr w:rsidR="0084723D" w:rsidTr="0084723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19</w:t>
            </w:r>
          </w:p>
        </w:tc>
        <w:tc>
          <w:tcPr>
            <w:tcW w:w="10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Seylan</w:t>
            </w:r>
            <w:proofErr w:type="spellEnd"/>
            <w:r>
              <w:rPr>
                <w:rFonts w:ascii="Book Antiqua" w:hAnsi="Book Antiqua" w:cs="Arial"/>
              </w:rPr>
              <w:t xml:space="preserve"> Bank PLC/Arc Capital (</w:t>
            </w:r>
            <w:proofErr w:type="spellStart"/>
            <w:r>
              <w:rPr>
                <w:rFonts w:ascii="Book Antiqua" w:hAnsi="Book Antiqua" w:cs="Arial"/>
              </w:rPr>
              <w:t>Pvt</w:t>
            </w:r>
            <w:proofErr w:type="spellEnd"/>
            <w:r>
              <w:rPr>
                <w:rFonts w:ascii="Book Antiqua" w:hAnsi="Book Antiqua" w:cs="Arial"/>
              </w:rPr>
              <w:t>)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1,756,616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0.11 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Union Assurance PLC/Account No. 05 (Unit-Linked Life Insurance Fund-Equity Tracker Fund)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1,617,917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0.10 </w:t>
            </w:r>
          </w:p>
        </w:tc>
      </w:tr>
      <w:tr w:rsidR="0084723D" w:rsidTr="0084723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</w:tr>
    </w:tbl>
    <w:p w:rsidR="0084723D" w:rsidRDefault="0084723D">
      <w:r>
        <w:br w:type="page"/>
      </w:r>
    </w:p>
    <w:tbl>
      <w:tblPr>
        <w:tblW w:w="14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399"/>
        <w:gridCol w:w="4338"/>
        <w:gridCol w:w="3287"/>
      </w:tblGrid>
      <w:tr w:rsidR="0084723D" w:rsidTr="0084723D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lastRenderedPageBreak/>
              <w:t>Public Holding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4723D" w:rsidTr="0084723D">
        <w:trPr>
          <w:trHeight w:val="750"/>
        </w:trPr>
        <w:tc>
          <w:tcPr>
            <w:tcW w:w="144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percentage of ordinary shares held by the public as at 30th September 2016 was 24.89% and the number of shareholders representing the public holding was 9,239.</w:t>
            </w:r>
          </w:p>
        </w:tc>
      </w:tr>
      <w:tr w:rsidR="0084723D" w:rsidTr="0084723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</w:tr>
      <w:tr w:rsidR="0084723D" w:rsidTr="0084723D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Directors'/ CEO's Holding in Shares as at 30th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4723D" w:rsidTr="0084723D">
        <w:trPr>
          <w:trHeight w:val="36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number of ordinary shares held by the directors and CEO as at 30th September 2016 were as follows;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4723D" w:rsidTr="0084723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</w:p>
        </w:tc>
      </w:tr>
      <w:tr w:rsidR="0084723D" w:rsidTr="0084723D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Name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23D" w:rsidRDefault="0084723D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No. of Shares</w:t>
            </w:r>
          </w:p>
        </w:tc>
      </w:tr>
      <w:tr w:rsidR="0084723D" w:rsidTr="0084723D">
        <w:trPr>
          <w:trHeight w:val="390"/>
        </w:trPr>
        <w:tc>
          <w:tcPr>
            <w:tcW w:w="10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</w:t>
            </w:r>
            <w:proofErr w:type="spellStart"/>
            <w:r>
              <w:rPr>
                <w:rFonts w:ascii="Book Antiqua" w:hAnsi="Book Antiqua" w:cs="Arial"/>
              </w:rPr>
              <w:t>Hemasiri</w:t>
            </w:r>
            <w:proofErr w:type="spellEnd"/>
            <w:r>
              <w:rPr>
                <w:rFonts w:ascii="Book Antiqua" w:hAnsi="Book Antiqua" w:cs="Arial"/>
              </w:rPr>
              <w:t xml:space="preserve"> Fernando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Chairman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-  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Michael </w:t>
            </w:r>
            <w:proofErr w:type="spellStart"/>
            <w:r>
              <w:rPr>
                <w:rFonts w:ascii="Book Antiqua" w:hAnsi="Book Antiqua" w:cs="Arial"/>
              </w:rPr>
              <w:t>Pradeep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Amirthanayagam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Deputy Chairman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10,000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</w:t>
            </w:r>
            <w:proofErr w:type="spellStart"/>
            <w:r>
              <w:rPr>
                <w:rFonts w:ascii="Book Antiqua" w:hAnsi="Book Antiqua" w:cs="Arial"/>
              </w:rPr>
              <w:t>JehanPrasannaAmaratunga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-  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</w:t>
            </w:r>
            <w:proofErr w:type="spellStart"/>
            <w:r>
              <w:rPr>
                <w:rFonts w:ascii="Book Antiqua" w:hAnsi="Book Antiqua" w:cs="Arial"/>
              </w:rPr>
              <w:t>GoluhewageBinduRasithaPoojithaGunawardana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-  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Mr. Johnson Anthony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-  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Mohamed Anise Mohamed </w:t>
            </w:r>
            <w:proofErr w:type="spellStart"/>
            <w:r>
              <w:rPr>
                <w:rFonts w:ascii="Book Antiqua" w:hAnsi="Book Antiqua" w:cs="Arial"/>
              </w:rPr>
              <w:t>Rizwan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-  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</w:t>
            </w:r>
            <w:proofErr w:type="spellStart"/>
            <w:r>
              <w:rPr>
                <w:rFonts w:ascii="Book Antiqua" w:hAnsi="Book Antiqua" w:cs="Arial"/>
              </w:rPr>
              <w:t>RathnayakeMudiyanselageJayasena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-  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Dr. Ali </w:t>
            </w:r>
            <w:proofErr w:type="spellStart"/>
            <w:r>
              <w:rPr>
                <w:rFonts w:ascii="Book Antiqua" w:hAnsi="Book Antiqua" w:cs="Arial"/>
              </w:rPr>
              <w:t>AsgarShabbirGulamhusein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110,000 </w:t>
            </w:r>
          </w:p>
        </w:tc>
      </w:tr>
      <w:tr w:rsidR="0084723D" w:rsidTr="0084723D">
        <w:trPr>
          <w:trHeight w:val="330"/>
        </w:trPr>
        <w:tc>
          <w:tcPr>
            <w:tcW w:w="10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Mr. Don </w:t>
            </w:r>
            <w:proofErr w:type="spellStart"/>
            <w:r>
              <w:rPr>
                <w:rFonts w:ascii="Book Antiqua" w:hAnsi="Book Antiqua" w:cs="Arial"/>
              </w:rPr>
              <w:t>PadmasiriKumarage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23D" w:rsidRDefault="0084723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CEO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23D" w:rsidRDefault="0084723D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713,258 </w:t>
            </w:r>
          </w:p>
        </w:tc>
      </w:tr>
    </w:tbl>
    <w:p w:rsidR="00A018D6" w:rsidRDefault="00A018D6" w:rsidP="0084723D"/>
    <w:sectPr w:rsidR="00A018D6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843D6" w15:done="0"/>
  <w15:commentEx w15:paraId="558AA695" w15:done="0"/>
  <w15:commentEx w15:paraId="0ADE14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inika Dulanjali Weerasuriya">
    <w15:presenceInfo w15:providerId="AD" w15:userId="S-1-5-21-2099570745-4251971555-3330871750-16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769C1"/>
    <w:rsid w:val="000E5808"/>
    <w:rsid w:val="00177604"/>
    <w:rsid w:val="001B042D"/>
    <w:rsid w:val="001C53EE"/>
    <w:rsid w:val="002D5BFE"/>
    <w:rsid w:val="002E2E6F"/>
    <w:rsid w:val="002F077F"/>
    <w:rsid w:val="00351FD9"/>
    <w:rsid w:val="00370072"/>
    <w:rsid w:val="003731A2"/>
    <w:rsid w:val="003E5F63"/>
    <w:rsid w:val="00512456"/>
    <w:rsid w:val="00560771"/>
    <w:rsid w:val="005A4635"/>
    <w:rsid w:val="005C76DE"/>
    <w:rsid w:val="005E15BE"/>
    <w:rsid w:val="00751FC2"/>
    <w:rsid w:val="00796B37"/>
    <w:rsid w:val="0084723D"/>
    <w:rsid w:val="008A5494"/>
    <w:rsid w:val="008E45D5"/>
    <w:rsid w:val="00997F43"/>
    <w:rsid w:val="00A018D6"/>
    <w:rsid w:val="00A56169"/>
    <w:rsid w:val="00AC7851"/>
    <w:rsid w:val="00B43E8D"/>
    <w:rsid w:val="00B71485"/>
    <w:rsid w:val="00C55EC2"/>
    <w:rsid w:val="00C82ACC"/>
    <w:rsid w:val="00CB7369"/>
    <w:rsid w:val="00CE2E10"/>
    <w:rsid w:val="00CF0EFE"/>
    <w:rsid w:val="00CF2048"/>
    <w:rsid w:val="00D731CD"/>
    <w:rsid w:val="00EC0401"/>
    <w:rsid w:val="00F1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5C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54B2-E548-4FBC-BDA3-4669BF0F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19</cp:revision>
  <cp:lastPrinted>2021-03-17T04:17:00Z</cp:lastPrinted>
  <dcterms:created xsi:type="dcterms:W3CDTF">2021-02-18T21:08:00Z</dcterms:created>
  <dcterms:modified xsi:type="dcterms:W3CDTF">2021-03-17T04:18:00Z</dcterms:modified>
</cp:coreProperties>
</file>